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52D" w:rsidRDefault="0025252D">
      <w:pPr>
        <w:spacing w:after="0" w:line="240" w:lineRule="auto"/>
        <w:jc w:val="center"/>
        <w:rPr>
          <w:b/>
          <w:sz w:val="28"/>
          <w:szCs w:val="28"/>
        </w:rPr>
      </w:pPr>
    </w:p>
    <w:p w:rsidR="0025252D" w:rsidRDefault="0025252D">
      <w:pPr>
        <w:spacing w:after="0" w:line="240" w:lineRule="auto"/>
        <w:jc w:val="center"/>
        <w:rPr>
          <w:b/>
          <w:sz w:val="28"/>
          <w:szCs w:val="28"/>
        </w:rPr>
      </w:pPr>
    </w:p>
    <w:p w:rsidR="0025252D" w:rsidRDefault="009D552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DEED OF GIFT</w:t>
      </w:r>
    </w:p>
    <w:p w:rsidR="0025252D" w:rsidRDefault="009D5525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Parties:</w:t>
      </w:r>
    </w:p>
    <w:p w:rsidR="0025252D" w:rsidRDefault="0025252D">
      <w:pPr>
        <w:spacing w:after="0" w:line="240" w:lineRule="auto"/>
        <w:jc w:val="both"/>
        <w:rPr>
          <w:b/>
          <w:sz w:val="22"/>
          <w:szCs w:val="22"/>
        </w:rPr>
      </w:pPr>
    </w:p>
    <w:p w:rsidR="0025252D" w:rsidRDefault="009D5525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Donor: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25252D" w:rsidRDefault="009D5525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Registered office:</w:t>
      </w:r>
      <w:r>
        <w:rPr>
          <w:b/>
          <w:sz w:val="22"/>
          <w:szCs w:val="22"/>
        </w:rPr>
        <w:tab/>
      </w:r>
    </w:p>
    <w:p w:rsidR="0025252D" w:rsidRDefault="009D5525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ID: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25252D" w:rsidRDefault="009D5525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Represented by: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25252D" w:rsidRDefault="0025252D">
      <w:pPr>
        <w:spacing w:after="0" w:line="240" w:lineRule="auto"/>
        <w:jc w:val="both"/>
        <w:rPr>
          <w:b/>
          <w:sz w:val="22"/>
          <w:szCs w:val="22"/>
        </w:rPr>
      </w:pPr>
    </w:p>
    <w:p w:rsidR="0025252D" w:rsidRDefault="009D5525">
      <w:pPr>
        <w:spacing w:after="0" w:line="240" w:lineRule="auto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Donee</w:t>
      </w:r>
      <w:proofErr w:type="spellEnd"/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Cesta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domů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z.ú</w:t>
      </w:r>
      <w:proofErr w:type="spellEnd"/>
      <w:r>
        <w:rPr>
          <w:b/>
          <w:sz w:val="22"/>
          <w:szCs w:val="22"/>
        </w:rPr>
        <w:t xml:space="preserve">., </w:t>
      </w:r>
      <w:r>
        <w:rPr>
          <w:sz w:val="22"/>
          <w:szCs w:val="22"/>
        </w:rPr>
        <w:t xml:space="preserve">registered in the Commercial Register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maintained by Municipal Court in Prague under ref. U 130</w:t>
      </w:r>
    </w:p>
    <w:p w:rsidR="0025252D" w:rsidRDefault="009D5525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Registered office:</w:t>
      </w:r>
      <w:r>
        <w:rPr>
          <w:b/>
          <w:sz w:val="22"/>
          <w:szCs w:val="22"/>
        </w:rPr>
        <w:tab/>
      </w:r>
      <w:proofErr w:type="spellStart"/>
      <w:r>
        <w:rPr>
          <w:sz w:val="22"/>
          <w:szCs w:val="22"/>
        </w:rPr>
        <w:t>Heleny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Kočvarové</w:t>
      </w:r>
      <w:proofErr w:type="spellEnd"/>
      <w:r>
        <w:rPr>
          <w:sz w:val="22"/>
          <w:szCs w:val="22"/>
        </w:rPr>
        <w:t xml:space="preserve"> 1583/1, 140 00 Prague 4</w:t>
      </w:r>
    </w:p>
    <w:p w:rsidR="0025252D" w:rsidRDefault="009D5525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ID: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265 28 843</w:t>
      </w:r>
    </w:p>
    <w:p w:rsidR="0025252D" w:rsidRDefault="009D5525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Represented by: </w:t>
      </w:r>
      <w:r>
        <w:rPr>
          <w:b/>
          <w:sz w:val="22"/>
          <w:szCs w:val="22"/>
        </w:rPr>
        <w:tab/>
      </w:r>
      <w:proofErr w:type="spellStart"/>
      <w:r w:rsidR="00EF1064">
        <w:rPr>
          <w:sz w:val="22"/>
          <w:szCs w:val="22"/>
        </w:rPr>
        <w:t>MUDr</w:t>
      </w:r>
      <w:proofErr w:type="spellEnd"/>
      <w:r w:rsidR="00EF1064">
        <w:rPr>
          <w:sz w:val="22"/>
          <w:szCs w:val="22"/>
        </w:rPr>
        <w:t>. Martina Holubová,</w:t>
      </w:r>
      <w:bookmarkStart w:id="0" w:name="_GoBack"/>
      <w:bookmarkEnd w:id="0"/>
      <w:r>
        <w:rPr>
          <w:sz w:val="22"/>
          <w:szCs w:val="22"/>
        </w:rPr>
        <w:t xml:space="preserve"> director</w:t>
      </w:r>
    </w:p>
    <w:p w:rsidR="0025252D" w:rsidRDefault="0025252D">
      <w:pPr>
        <w:spacing w:after="0" w:line="240" w:lineRule="auto"/>
        <w:jc w:val="both"/>
        <w:rPr>
          <w:b/>
          <w:sz w:val="22"/>
          <w:szCs w:val="22"/>
        </w:rPr>
      </w:pPr>
    </w:p>
    <w:p w:rsidR="0025252D" w:rsidRDefault="009D5525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Enter into this Deed of Gift according to Section 2055 et seq. of the Civil Code:</w:t>
      </w:r>
    </w:p>
    <w:p w:rsidR="0025252D" w:rsidRDefault="0025252D">
      <w:pPr>
        <w:spacing w:after="0" w:line="240" w:lineRule="auto"/>
        <w:jc w:val="both"/>
        <w:rPr>
          <w:b/>
          <w:sz w:val="22"/>
          <w:szCs w:val="22"/>
        </w:rPr>
      </w:pPr>
    </w:p>
    <w:p w:rsidR="0025252D" w:rsidRDefault="009D5525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Article I</w:t>
      </w:r>
    </w:p>
    <w:p w:rsidR="0025252D" w:rsidRDefault="009D5525">
      <w:pPr>
        <w:spacing w:after="0" w:line="24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Purpose of Deed</w:t>
      </w:r>
    </w:p>
    <w:p w:rsidR="0025252D" w:rsidRDefault="009D5525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The Donor hereby undertakes to grant to the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Donee</w:t>
      </w:r>
      <w:proofErr w:type="spellEnd"/>
      <w:r>
        <w:rPr>
          <w:sz w:val="22"/>
          <w:szCs w:val="22"/>
        </w:rPr>
        <w:t xml:space="preserve"> a gift amounting to CZK ................. to wit: ............... Czech crowns. The </w:t>
      </w:r>
      <w:proofErr w:type="spellStart"/>
      <w:r>
        <w:rPr>
          <w:sz w:val="22"/>
          <w:szCs w:val="22"/>
        </w:rPr>
        <w:t>Donee</w:t>
      </w:r>
      <w:proofErr w:type="spellEnd"/>
      <w:r>
        <w:rPr>
          <w:sz w:val="22"/>
          <w:szCs w:val="22"/>
        </w:rPr>
        <w:t xml:space="preserve"> hereby accepts the Gift in accordance with Section 2055 (1) of the Czech Civil Code.</w:t>
      </w:r>
    </w:p>
    <w:p w:rsidR="0025252D" w:rsidRDefault="009D5525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Upon entering into this Deed of Gift, the Donor shall deliver the Gift wit</w:t>
      </w:r>
      <w:r>
        <w:rPr>
          <w:sz w:val="22"/>
          <w:szCs w:val="22"/>
        </w:rPr>
        <w:t xml:space="preserve">hout undue delay to the </w:t>
      </w:r>
      <w:proofErr w:type="spellStart"/>
      <w:r>
        <w:rPr>
          <w:sz w:val="22"/>
          <w:szCs w:val="22"/>
        </w:rPr>
        <w:t>Donee</w:t>
      </w:r>
      <w:proofErr w:type="spellEnd"/>
      <w:r>
        <w:rPr>
          <w:sz w:val="22"/>
          <w:szCs w:val="22"/>
        </w:rPr>
        <w:t xml:space="preserve"> by means of bank transfer to the account at </w:t>
      </w:r>
      <w:proofErr w:type="spellStart"/>
      <w:r>
        <w:rPr>
          <w:sz w:val="22"/>
          <w:szCs w:val="22"/>
        </w:rPr>
        <w:t>Fio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>., account No.: 2800193970/2010, with the variable symbol 357 .</w:t>
      </w:r>
    </w:p>
    <w:p w:rsidR="0025252D" w:rsidRDefault="0025252D">
      <w:pPr>
        <w:spacing w:after="0" w:line="240" w:lineRule="auto"/>
        <w:jc w:val="both"/>
        <w:rPr>
          <w:b/>
          <w:sz w:val="22"/>
          <w:szCs w:val="22"/>
        </w:rPr>
      </w:pPr>
    </w:p>
    <w:p w:rsidR="0025252D" w:rsidRDefault="009D5525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ARTICLE II</w:t>
      </w:r>
    </w:p>
    <w:p w:rsidR="0025252D" w:rsidRDefault="009D5525">
      <w:pPr>
        <w:spacing w:after="0" w:line="24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Obligations and Rights of Parties</w:t>
      </w:r>
    </w:p>
    <w:p w:rsidR="0025252D" w:rsidRDefault="009D5525">
      <w:pPr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Donee</w:t>
      </w:r>
      <w:proofErr w:type="spellEnd"/>
      <w:r>
        <w:rPr>
          <w:sz w:val="22"/>
          <w:szCs w:val="22"/>
        </w:rPr>
        <w:t xml:space="preserve"> hereby undertakes to use the Gift to develop and improve the quality of home hospice care services.</w:t>
      </w:r>
    </w:p>
    <w:p w:rsidR="0025252D" w:rsidRDefault="009D5525">
      <w:pPr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Donor shall be entitled to demand the Gift back in case the </w:t>
      </w:r>
      <w:proofErr w:type="spellStart"/>
      <w:r>
        <w:rPr>
          <w:sz w:val="22"/>
          <w:szCs w:val="22"/>
        </w:rPr>
        <w:t>Donee</w:t>
      </w:r>
      <w:proofErr w:type="spellEnd"/>
      <w:r>
        <w:rPr>
          <w:sz w:val="22"/>
          <w:szCs w:val="22"/>
        </w:rPr>
        <w:t xml:space="preserve"> uses the Gift in contradiction with the purpose stated in the previous parag</w:t>
      </w:r>
      <w:r>
        <w:rPr>
          <w:sz w:val="22"/>
          <w:szCs w:val="22"/>
        </w:rPr>
        <w:t>raph.</w:t>
      </w:r>
    </w:p>
    <w:p w:rsidR="0025252D" w:rsidRDefault="0025252D">
      <w:pPr>
        <w:spacing w:after="0" w:line="240" w:lineRule="auto"/>
        <w:jc w:val="both"/>
        <w:rPr>
          <w:b/>
          <w:sz w:val="22"/>
          <w:szCs w:val="22"/>
        </w:rPr>
      </w:pPr>
    </w:p>
    <w:p w:rsidR="0025252D" w:rsidRDefault="009D5525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ARTICLE III</w:t>
      </w:r>
    </w:p>
    <w:p w:rsidR="0025252D" w:rsidRDefault="009D5525">
      <w:pPr>
        <w:spacing w:after="0" w:line="24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Final Provisions</w:t>
      </w:r>
    </w:p>
    <w:p w:rsidR="0025252D" w:rsidRDefault="009D5525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Unless stipulated otherwise in this Deed of Gift, the legal relations arising from this Deed of Gift shall be governed by the applicable provisions of the Czech Civil Code.</w:t>
      </w:r>
    </w:p>
    <w:p w:rsidR="0025252D" w:rsidRDefault="009D5525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bookmarkStart w:id="1" w:name="_heading=h.hrfde2o9v9ue" w:colFirst="0" w:colLast="0"/>
      <w:bookmarkEnd w:id="1"/>
      <w:r>
        <w:rPr>
          <w:sz w:val="22"/>
          <w:szCs w:val="22"/>
        </w:rPr>
        <w:t xml:space="preserve">This Deed of Gift shall be executed and signed </w:t>
      </w:r>
      <w:r>
        <w:rPr>
          <w:sz w:val="22"/>
          <w:szCs w:val="22"/>
        </w:rPr>
        <w:t>by agreement of both parties. Changes or additions to this Deed of Gift may only be made by written amendments approved by both parties.</w:t>
      </w:r>
    </w:p>
    <w:p w:rsidR="0025252D" w:rsidRDefault="009D5525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This Deed of Gift shall come into force and effect as of the date it is signed by both parties.</w:t>
      </w:r>
    </w:p>
    <w:p w:rsidR="0025252D" w:rsidRDefault="009D5525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The parties declare tha</w:t>
      </w:r>
      <w:r>
        <w:rPr>
          <w:sz w:val="22"/>
          <w:szCs w:val="22"/>
        </w:rPr>
        <w:t>t they have duly read this Deed of Gift and attached their signatures to prove their agreement to its content.</w:t>
      </w:r>
    </w:p>
    <w:p w:rsidR="0025252D" w:rsidRDefault="0025252D">
      <w:pPr>
        <w:spacing w:after="0" w:line="240" w:lineRule="auto"/>
        <w:jc w:val="both"/>
        <w:rPr>
          <w:b/>
          <w:sz w:val="22"/>
          <w:szCs w:val="22"/>
        </w:rPr>
      </w:pPr>
    </w:p>
    <w:p w:rsidR="0025252D" w:rsidRDefault="0025252D">
      <w:pPr>
        <w:spacing w:after="0" w:line="240" w:lineRule="auto"/>
        <w:jc w:val="both"/>
        <w:rPr>
          <w:b/>
          <w:sz w:val="22"/>
          <w:szCs w:val="22"/>
        </w:rPr>
      </w:pPr>
    </w:p>
    <w:p w:rsidR="0025252D" w:rsidRDefault="009D5525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Prague,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Prague, </w:t>
      </w:r>
    </w:p>
    <w:p w:rsidR="0025252D" w:rsidRDefault="0025252D">
      <w:pPr>
        <w:spacing w:after="0" w:line="240" w:lineRule="auto"/>
        <w:jc w:val="both"/>
        <w:rPr>
          <w:b/>
          <w:sz w:val="22"/>
          <w:szCs w:val="22"/>
        </w:rPr>
      </w:pPr>
    </w:p>
    <w:p w:rsidR="0025252D" w:rsidRDefault="009D5525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…………………………………</w:t>
      </w:r>
    </w:p>
    <w:p w:rsidR="0025252D" w:rsidRDefault="009D5525">
      <w:p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Donor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Donee</w:t>
      </w:r>
      <w:proofErr w:type="spellEnd"/>
    </w:p>
    <w:sectPr w:rsidR="0025252D">
      <w:headerReference w:type="default" r:id="rId8"/>
      <w:footerReference w:type="default" r:id="rId9"/>
      <w:pgSz w:w="11906" w:h="16838"/>
      <w:pgMar w:top="851" w:right="1418" w:bottom="851" w:left="1418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525" w:rsidRDefault="009D5525">
      <w:pPr>
        <w:spacing w:after="0" w:line="240" w:lineRule="auto"/>
      </w:pPr>
      <w:r>
        <w:separator/>
      </w:r>
    </w:p>
  </w:endnote>
  <w:endnote w:type="continuationSeparator" w:id="0">
    <w:p w:rsidR="009D5525" w:rsidRDefault="009D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sta Serif">
    <w:panose1 w:val="020B0604020202020204"/>
    <w:charset w:val="00"/>
    <w:family w:val="auto"/>
    <w:pitch w:val="variable"/>
    <w:sig w:usb0="A00000FF" w:usb1="00002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52D" w:rsidRDefault="002525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56"/>
        <w:tab w:val="right" w:pos="9070"/>
      </w:tabs>
      <w:rPr>
        <w:color w:val="000000"/>
      </w:rPr>
    </w:pPr>
  </w:p>
  <w:p w:rsidR="0025252D" w:rsidRDefault="002525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56"/>
        <w:tab w:val="right" w:pos="907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525" w:rsidRDefault="009D5525">
      <w:pPr>
        <w:spacing w:after="0" w:line="240" w:lineRule="auto"/>
      </w:pPr>
      <w:r>
        <w:separator/>
      </w:r>
    </w:p>
  </w:footnote>
  <w:footnote w:type="continuationSeparator" w:id="0">
    <w:p w:rsidR="009D5525" w:rsidRDefault="009D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52D" w:rsidRDefault="009D55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900000</wp:posOffset>
          </wp:positionH>
          <wp:positionV relativeFrom="page">
            <wp:posOffset>540000</wp:posOffset>
          </wp:positionV>
          <wp:extent cx="4895533" cy="515319"/>
          <wp:effectExtent l="0" t="0" r="0" b="0"/>
          <wp:wrapNone/>
          <wp:docPr id="15362040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5533" cy="5153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3106B"/>
    <w:multiLevelType w:val="multilevel"/>
    <w:tmpl w:val="3AC4F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CC5C63"/>
    <w:multiLevelType w:val="multilevel"/>
    <w:tmpl w:val="F466B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4B36FC"/>
    <w:multiLevelType w:val="multilevel"/>
    <w:tmpl w:val="2876B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2D"/>
    <w:rsid w:val="0025252D"/>
    <w:rsid w:val="009D5525"/>
    <w:rsid w:val="00E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08BBF"/>
  <w15:docId w15:val="{939EF569-3752-EB4C-9DB6-3A6ACA7D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3"/>
        <w:szCs w:val="23"/>
        <w:lang w:val="en-GB" w:eastAsia="cs-CZ" w:bidi="ar-SA"/>
      </w:rPr>
    </w:rPrDefault>
    <w:pPrDefault>
      <w:pPr>
        <w:spacing w:after="30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240" w:line="276" w:lineRule="auto"/>
      <w:outlineLvl w:val="0"/>
    </w:pPr>
    <w:rPr>
      <w:b/>
      <w:color w:val="CC441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40" w:after="120" w:line="276" w:lineRule="auto"/>
      <w:outlineLvl w:val="1"/>
    </w:pPr>
    <w:rPr>
      <w:b/>
      <w:color w:val="CC4411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 w:after="120" w:line="276" w:lineRule="auto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40" w:after="80" w:line="276" w:lineRule="auto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" w:eastAsia="Calibri" w:hAnsi="Calibri" w:cs="Calibri"/>
      <w:color w:val="98320C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</w:pPr>
    <w:rPr>
      <w:sz w:val="56"/>
      <w:szCs w:val="56"/>
    </w:rPr>
  </w:style>
  <w:style w:type="paragraph" w:styleId="Zhlav">
    <w:name w:val="header"/>
    <w:link w:val="ZhlavChar"/>
    <w:uiPriority w:val="99"/>
    <w:unhideWhenUsed/>
    <w:rsid w:val="005C26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661"/>
    <w:rPr>
      <w:rFonts w:ascii="Cesta Serif" w:hAnsi="Cesta Serif"/>
      <w:b w:val="0"/>
      <w:i w:val="0"/>
      <w:kern w:val="22"/>
      <w:sz w:val="23"/>
    </w:rPr>
  </w:style>
  <w:style w:type="paragraph" w:styleId="Zpat">
    <w:name w:val="footer"/>
    <w:link w:val="ZpatChar"/>
    <w:uiPriority w:val="99"/>
    <w:unhideWhenUsed/>
    <w:rsid w:val="005C26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661"/>
    <w:rPr>
      <w:rFonts w:ascii="Cesta Serif" w:hAnsi="Cesta Serif"/>
      <w:b w:val="0"/>
      <w:i w:val="0"/>
      <w:kern w:val="22"/>
      <w:sz w:val="23"/>
    </w:rPr>
  </w:style>
  <w:style w:type="paragraph" w:styleId="Bezmezer">
    <w:name w:val="No Spacing"/>
    <w:uiPriority w:val="1"/>
    <w:qFormat/>
    <w:rsid w:val="00B66931"/>
  </w:style>
  <w:style w:type="character" w:customStyle="1" w:styleId="Nadpis1Char">
    <w:name w:val="Nadpis 1 Char"/>
    <w:basedOn w:val="Standardnpsmoodstavce"/>
    <w:uiPriority w:val="9"/>
    <w:rsid w:val="00B66931"/>
    <w:rPr>
      <w:rFonts w:ascii="Cambria" w:eastAsiaTheme="majorEastAsia" w:hAnsi="Cambria" w:cstheme="majorBidi"/>
      <w:b/>
      <w:bCs/>
      <w:noProof/>
      <w:color w:val="CC4411" w:themeColor="accent1"/>
      <w:sz w:val="40"/>
      <w:szCs w:val="40"/>
    </w:rPr>
  </w:style>
  <w:style w:type="character" w:customStyle="1" w:styleId="Nadpis2Char">
    <w:name w:val="Nadpis 2 Char"/>
    <w:basedOn w:val="Standardnpsmoodstavce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98320C" w:themeColor="accent1" w:themeShade="BF"/>
      <w:kern w:val="22"/>
      <w:sz w:val="36"/>
      <w:szCs w:val="36"/>
    </w:rPr>
  </w:style>
  <w:style w:type="character" w:customStyle="1" w:styleId="NzevChar">
    <w:name w:val="Název Char"/>
    <w:basedOn w:val="Standardnpsmoodstavce"/>
    <w:uiPriority w:val="10"/>
    <w:rsid w:val="00A94A82"/>
    <w:rPr>
      <w:rFonts w:ascii="Cesta Serif" w:eastAsiaTheme="majorEastAsia" w:hAnsi="Cesta Serif" w:cstheme="majorBidi"/>
      <w:b w:val="0"/>
      <w:i w:val="0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000000" w:themeColor="text1"/>
      <w:kern w:val="22"/>
      <w:sz w:val="28"/>
      <w:szCs w:val="36"/>
    </w:rPr>
  </w:style>
  <w:style w:type="character" w:customStyle="1" w:styleId="Nadpis4Char">
    <w:name w:val="Nadpis 4 Char"/>
    <w:basedOn w:val="Standardnpsmoodstavce"/>
    <w:uiPriority w:val="9"/>
    <w:rsid w:val="00A94A82"/>
    <w:rPr>
      <w:rFonts w:ascii="Cesta Serif" w:eastAsiaTheme="majorEastAsia" w:hAnsi="Cesta Serif" w:cstheme="majorBidi"/>
      <w:b/>
      <w:bCs/>
      <w:i w:val="0"/>
      <w:iCs/>
      <w:noProof/>
      <w:color w:val="000000" w:themeColor="text1"/>
      <w:kern w:val="22"/>
      <w:sz w:val="23"/>
      <w:szCs w:val="36"/>
    </w:rPr>
  </w:style>
  <w:style w:type="character" w:styleId="Zdraznnintenzivn">
    <w:name w:val="Intense Emphasis"/>
    <w:basedOn w:val="Standardnpsmoodstavce"/>
    <w:uiPriority w:val="21"/>
    <w:qFormat/>
    <w:rsid w:val="00A94A82"/>
    <w:rPr>
      <w:rFonts w:ascii="Cesta Serif" w:hAnsi="Cesta Serif"/>
      <w:b w:val="0"/>
      <w:i/>
      <w:iCs/>
      <w:color w:val="CC4411" w:themeColor="accent1"/>
      <w:kern w:val="22"/>
      <w:sz w:val="23"/>
    </w:rPr>
  </w:style>
  <w:style w:type="character" w:styleId="Siln">
    <w:name w:val="Strong"/>
    <w:basedOn w:val="Standardnpsmoodstavce"/>
    <w:uiPriority w:val="22"/>
    <w:qFormat/>
    <w:rsid w:val="00B66931"/>
    <w:rPr>
      <w:rFonts w:ascii="Cambria" w:hAnsi="Cambria"/>
      <w:b/>
      <w:bCs/>
      <w:i w:val="0"/>
      <w:kern w:val="22"/>
      <w:sz w:val="23"/>
    </w:rPr>
  </w:style>
  <w:style w:type="character" w:customStyle="1" w:styleId="Nadpis5Char">
    <w:name w:val="Nadpis 5 Char"/>
    <w:basedOn w:val="Standardnpsmoodstavce"/>
    <w:uiPriority w:val="9"/>
    <w:semiHidden/>
    <w:rsid w:val="00B66931"/>
    <w:rPr>
      <w:rFonts w:asciiTheme="majorHAnsi" w:eastAsiaTheme="majorEastAsia" w:hAnsiTheme="majorHAnsi" w:cstheme="majorBidi"/>
      <w:color w:val="98320C" w:themeColor="accent1" w:themeShade="BF"/>
      <w:sz w:val="23"/>
    </w:rPr>
  </w:style>
  <w:style w:type="character" w:customStyle="1" w:styleId="PodnadpisChar">
    <w:name w:val="Podnadpis Char"/>
    <w:basedOn w:val="Standardnpsmoodstavce"/>
    <w:uiPriority w:val="11"/>
    <w:rsid w:val="00B6693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t">
    <w:name w:val="Quote"/>
    <w:link w:val="CittChar"/>
    <w:uiPriority w:val="29"/>
    <w:qFormat/>
    <w:rsid w:val="00B669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6931"/>
    <w:rPr>
      <w:rFonts w:ascii="Cambria" w:hAnsi="Cambria"/>
      <w:i/>
      <w:iCs/>
      <w:color w:val="404040" w:themeColor="text1" w:themeTint="BF"/>
      <w:sz w:val="23"/>
    </w:rPr>
  </w:style>
  <w:style w:type="character" w:styleId="Odkazjemn">
    <w:name w:val="Subtle Reference"/>
    <w:basedOn w:val="Standardnpsmoodstavce"/>
    <w:uiPriority w:val="31"/>
    <w:qFormat/>
    <w:rsid w:val="00B66931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B66931"/>
    <w:rPr>
      <w:b/>
      <w:bCs/>
      <w:smallCaps/>
      <w:color w:val="CC4411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B66931"/>
    <w:rPr>
      <w:b/>
      <w:bCs/>
      <w:i/>
      <w:iCs/>
      <w:spacing w:val="5"/>
    </w:rPr>
  </w:style>
  <w:style w:type="paragraph" w:styleId="Odstavecseseznamem">
    <w:name w:val="List Paragraph"/>
    <w:uiPriority w:val="34"/>
    <w:qFormat/>
    <w:rsid w:val="00B66931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Cesta domů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C4411"/>
      </a:accent1>
      <a:accent2>
        <a:srgbClr val="F28C5C"/>
      </a:accent2>
      <a:accent3>
        <a:srgbClr val="FAB200"/>
      </a:accent3>
      <a:accent4>
        <a:srgbClr val="448A16"/>
      </a:accent4>
      <a:accent5>
        <a:srgbClr val="00617C"/>
      </a:accent5>
      <a:accent6>
        <a:srgbClr val="9F4966"/>
      </a:accent6>
      <a:hlink>
        <a:srgbClr val="ED6B6F"/>
      </a:hlink>
      <a:folHlink>
        <a:srgbClr val="7177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Sx2jv8Bp1mG9Js5uSgm1C+cVTQ==">CgMxLjAyDmguaHJmZGUybzl2OXVlOAByITFLM2ZTSFFGWTJ1WTJBanRnV2tPOFNHTU1wNHk5WnY5Nw==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Šimůnek</dc:creator>
  <cp:lastModifiedBy>Efka</cp:lastModifiedBy>
  <cp:revision>2</cp:revision>
  <dcterms:created xsi:type="dcterms:W3CDTF">2025-05-30T08:38:00Z</dcterms:created>
  <dcterms:modified xsi:type="dcterms:W3CDTF">2025-12-08T13:02:00Z</dcterms:modified>
</cp:coreProperties>
</file>